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连云港市老干部活动中心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(一)贯彻实施党的老干部工作方针政策，组织引导老干部为党的事业奉献，发挥老干部作用。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(二)组织实施老干部开展各类学习和文化、体育、健身活动，承担老干部活动主阵地、主平台功能。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(三)统筹制定全市老干部活动具体计划，指导全市基层老干部活动中心(室)工作，建设联结基层的学习和活动网络。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(四)承担老干部党校、老干部大学日常服务管理工作，设定教学科目和教材，协助教学教务工作。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(五)负责市老干部活动中心各活动场所的现场管理和调度管理，负责各类设施的维护工作。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(六)配合做好离退休干部的管理服务工作。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(七)承担主管部门交办的其他工作。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综合部、活动部、总值班室、学校部。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以来，市老干部活动中心以习近平新时代中国特色社会主义思想为指导，深入贯彻党的十九届历次全会精神和党的二十大精神，落实中央和省、市老干部工作会议精神，围绕全市中心大局，紧盯全年老干部工作要点部署，全面抓好抓实疫情防控、政治教育、文体活动组织、正能量作用发挥等方面工作。根据工作部署，现将市老干部活动中心全年工作总结如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落实疫情防控部署，保障老干部学习活动有序安全。坚持老干部生命健康至上原则，严格贯彻疫情防控部署，及时关注疫情防控动态，与行管局、苍梧物业全天候全流程全环节沟通联系，不断完善多方联动、全面推进的疫情防控工作联络机制。发挥好微信工作群、QQ交流群、门户网站等信息化渠道和团体网格化联络员联络沟通机制优势，及时通报疫情形势以及场所活动管理情况，并第一时间转发疫情防控公告通知等政策，耐心地做好宣传引导解释工作，帮助老干部知晓了解最新政策精神。不断完善应急工作方案，科学设置专用隔离室和购置一批防疫物资，落实好“两码”查验、测温登记、场所消杀、楼层巡查等工作，根据疫情实际，动态调整场所开关、活动规模大小等举措，确保阵地场所活动安全有序运行，做到疫情防控和学习活动统筹推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加强政治建设工作，引导老同志做到“两个维护”。以政治建设统领扎实推进老干部学习教育工作。利用融媒体中心政治教育平台优势，通过连云港市委老干部局官方网站、连云港老干部微信公众号线上渠道，编发习近平新时代中国特色社会主义思想，习近平总书记最新重要讲话和中央、省市委政策方针等方面文章信息200余条，特别是党的二十大期间快速度、高频次转发报告全文、记者见面会讲话等内容，让广大老干部在家就能收到更加系统权威的辅导资料，同时也有效解决了疫情防控常态化下老干部政治学习教育活动不及时、不便捷等难题，引导老同志深刻领悟“两个确立”的决定性意义，做到“两个维护”。开设“重温百年党史喜迎党的二十大”学习历届党代会系列活动，帮助老同志更深入地了解党的光辉历史、更广泛地传承红色基因，从百年党史中汲取智慧和力量。依托市老干部党校平台，分别与连云区委党校、灌云县委党校联合举办全市县处级退休干部读书班、离退休干部党支部书记培训班、老干部工作者培训班各1期，30名县处级退休干部、30名离退休干部党支部书记、77名老干部工作者参加了培训，分层分类做好重点对象群体的思想政治教育工作。组织22名市级老干部文体活动团体负责人围绕“我看中国特色社会主义新时代”和建言“二十大”研讨主题，忆往事、谈体会、话发展，以实际行动喜迎党的二十大胜利召开，组织团体采取灵活形式收看收听二十大开幕会，并适时开展讨论座谈，切实把思想行动统一到党中央决策部署上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有序开展文体活动，丰富老同志精神文化生活。在落实疫情防控部署要求的前提下，抢抓有利时机组织开展全市离退休干部迎新春•开新局文艺演出并制作成视频在微信公众号和网站上展出。经过精心组织和对接，组织市老干部合唱团参与省老年春晚节目录制，倾情演绎合唱歌曲《在灿烂的阳光下》在江苏广播电视总台老年春晚上展现了我市老干部风采。采取线上+线下文体活动融合发展运行模式，市老干部大学书画、太极拳、模特高研班复课，联合举办“检察蓝守护夕阳红”养老反诈知识讲座，组织老同志参加全省老干部门球邀请赛，开展了5期“书画抗疫奉献有我”抗疫专刊系列书画展，14期“翰墨情缘”兴趣小组书画作品交流线上等活动，进一步丰富了老同志精神文化生活。聚焦党的二十大主题主线，“喜迎党的二十大，诗书画影颂党恩”全省离退休干部书画摄影作品展巡展首发启动仪式在我市举办，为党的二十大胜利召开特别献礼；举办“喜迎党的二十大，诗书画影颂党恩”全市离退休干部书画摄影作品展、326幅作品参展，市老干部书画研究会在民主路老街大华商店举办了为期45天的老干部书画展，诠释了老同志爱党爱国爱人民的高尚情怀。市老干部女高级知识分子联谊会、乒乓球协会等活动团体还自发围绕二十大开展线上线下文体活动，为伟大祖国美好明天汇聚更多智慧和力量。结合疫情防控形势，适时有序开放乒乓球、门球等部分功能场所，气排球、合唱、京剧、模特等团体活动，并逐步正常化开展，累计开展活动220余场次、参与老同志21000余人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充分发挥老干部独特优势，传递老干部积极向上正能量。面对突发疫情，第一时间通过电话和微信发布疫情防控提示，引导老干部响应号召、亮明身份，以居家或维持核酸检测秩序、两码查验、卡口值守等形式支持抗疫，老同志成为抗疫一线最独特的风景线，展示了广大老干部无私奉献崇高品格，带动和影响更多人打赢疫情防控阻击战。围绕喜迎党的二十大胜利召开这条主线，市老干部女高知联和孝文化研究会联合策划十项活动喜迎二十大，机关退休女干部舞蹈艺术团多种形式喜迎二十大，杨氏太极拳学会开展“喜迎二十大健身庆盛事”太极拳健身推广大联动系列活动，部分老干部活动团体成员开展“老少心向党喜迎二十大”艺术助残活动，广大老同志还踊跃参与“喜迎二十大银龄心向党”网上知识竞答活动，锤炼党性修养、筑牢党性根基。市老干部书画院、书画研究会春节前书写对联、福字5000余件次送到乡镇、社区和企业。一系列志愿活动的开展，在发挥老干部政治优势、经验优势、威望优势的同时，又进一步讲好发展故事、弘扬时代旋律、汇聚前进合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搭建工作锻炼平台，不断提升老干部工作队伍素养。召开市级老干部文体活动团体例会，研究部署好全年工作，并征求老干部意见和建议，提升工作精准化科学化水平。加强干部职工的思想政治学习教育，组织党员干部参与固定学习日、党小组学习、年轻干部座谈会等活动，多名年轻同志在局“学习强国”成绩排行榜位次靠前，按时足额缴纳党费，过好党内政治生活，增强党员荣誉感、归属感。注重融媒体建设工作，制作了老干部春晚、抗疫志愿活动、党建创新项目、干部荣退等视频10余个，在网站、公众号信息审核编辑发布信息850余条，有效提升了老干部信息化工作能力和水平。在疫情防控中，5人次响应号召深入“疫线”赴相关社区参与疫情防控，多人次在居住小区参加疫情防控。组织全员参与疫情防控线上培训活动，并全部获得省卫生健康系统新冠肺炎疫情常态化防控培训合格证书，为全面守护好人民群众生命健康安全构筑牢固防线。1名党员同志赴市委党校脱产学习、2名党员同志到市政府办跟班学习，还组织了年轻同志参加文明交通站岗执勤、“学习强国”后台操作等工作，8名同志进行职务职级调整，同时细化内设机构职责和调整优化岗位AB岗制度，搭建更多平台、创造更好机会，让年轻同志在经风雨、见世面中长才干、壮筋骨，着力打造一支政治硬、党性强、业务精、工作实、形象好的工作队伍。</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连云港市老干部活动中心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连云港市老干部活动中心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631.32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518.74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126.61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631.32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645.35</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21.47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7.44</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652.79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652.79</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连云港市老干部活动中心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631.32</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631.32</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504.70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504.70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368.20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368.20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315.89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315.89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126.61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126.61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126.61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126.61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100.19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连云港市老干部活动中心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645.35</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494.71</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150.65</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518.74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368.09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150.65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382.24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245.63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136.61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52.31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329.93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245.63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84.30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122.46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122.46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126.61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126.61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126.61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126.61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26.43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26.43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100.19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100.19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连云港市老干部活动中心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631.32</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518.74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518.74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631.32</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645.35</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645.35</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21.47</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21.47</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652.79</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652.79</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652.79</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连云港市老干部活动中心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645.35</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494.71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368.09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52.31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122.46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122.46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连云港市老干部活动中心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494.71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465.84</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连云港市老干部活动中心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645.35</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494.71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150.65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368.09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150.65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52.31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100.19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连云港市老干部活动中心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494.71</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465.84</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连云港市老干部活动中心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29.11</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29.11</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385</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连云港市老干部活动中心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连云港市老干部活动中心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连云港市老干部活动中心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28.87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0.72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9.04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连云港市老干部活动中心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25.85</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2022年度收入、支出决算总计652.79万元。与上年相比，收、支总计各增加133.77万元，增长25.77%。其中：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（一）收入决算总计652.79万元。包括：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1.本年收入决算合计631.32万元。与上年相比，增加143.6万元，增长29.44%，变动原因：本年度扩大老干部文体团体范围，老干部文体团体活动专项经费增加及在职人员工资、退休人员生活费等调整增加。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3.年初结转和结余21.47万元。与上年相比，减少9.83万元，减少31.41%，变动原因：年末补缴养老保险及职业年金。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（二）支出决算总计652.79万元。包括：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1.本年支出决算合计645.35万元。与上年相比，增加147.8万元，增长29.71%，变动原因：本年度老干部文体团体范围扩大，活动费用增多及在职人员工资、退休人员生活费等增加。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3.年末结转和结余7.44万元。结转和结余事项：职工代扣代缴养老保险、职业年金及个人所得税等。与上年相比，减少14.03万元，减少65.35%，变动原因：年末补缴养老保险及职业年金。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631.32万元，其中：财政拨款收入631.32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2022年度本年支出决算合计645.35万元，其中：基本支出494.71万元，占76.66%；项目支出150.65万元，占23.34%；上缴上级支出0万元，占0%；经营支出0万元，占0%；对附属单位补助支出0万元，占0%。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652.79万元。与上年相比，收、支总计各增加133.77万元，增长25.77%，变动原因：本年度扩大老干部文体团体范围，老干部文体团体活动专项经费增加及在职人员工资、退休人员生活费等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2022年度财政拨款支出决算645.35万元，占本年支出合计的100%。与2022年度财政拨款支出年初预算424.81万元相比，完成年初预算的151.91%。其中：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1.其他共产党事务支出（款）行政运行（项）。年初预算52.31万元，支出决算52.31万元，完成年初预算的100%。决算数与年初预算数相同。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2.其他共产党事务支出（款）其他共产党事务支出（项）。年初预算245.88万元，支出决算329.93万元，完成年初预算的134.18%。决算数与年初预算数的差异原因：年末用结余资金补缴养老保险及职业年金。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一般公共服务支出（款）其他一般公共服务支出（项）。年初预算0万元，支出决算136.5万元，（年初预算数为0万元，无法计算完成比率）决算数与年初预算数的差异原因：本年度追加的应休未休公休假补助、基础绩效奖及去世人员抚恤金、丧葬费等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1.住房改革支出（款）住房公积金（项）。年初预算26.43万元，支出决算26.43万元，完成年初预算的100%。决算数与年初预算数相同。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2.住房改革支出（款）提租补贴（项）。年初预算100.19万元，支出决算100.19万元，完成年初预算的100%。决算数与年初预算数相同。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2022年度财政拨款基本支出决算494.71万元，其中：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（一）人员经费465.84万元。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其他工资福利支出、退休费、抚恤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（二）公用经费28.87万元。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主要包括：办公费、印刷费、邮电费、差旅费、维修（护）费、租赁费、培训费、专用材料费、劳务费、工会经费、福利费、税金及附加费用、其他商品和服务支出。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2022年度一般公共预算财政拨款支出决算645.35万元。与上年相比，增加147.8万元，增长29.71%，变动原因：本年度老干部文体团体范围扩大，活动费用增多及在职人员工资、退休人员生活费等增加。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2022年度一般公共预算财政拨款基本支出决算494.71万元，其中：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（一）人员经费465.84万元。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其他工资福利支出、退休费、抚恤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（二）公用经费28.87万元。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主要包括：办公费、印刷费、邮电费、差旅费、维修（护）费、租赁费、培训费、专用材料费、劳务费、工会经费、福利费、税金及附加费用、其他商品和服务支出。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29.11万元（其中：一般公共预算支出29.11万元；政府性基金预算支出0万元；国有资本经营预算支出0万元），支出决算29.11万元（其中：一般公共预算支出29.11万元；政府性基金预算支出0万元；国有资本经营预算支出0万元），完成调整后预算的100%，决算数与预算数相同。2022年度全年组织培训4个，组织培训385人次，开支内容：县处级退休干部培训班、党支部书记培训班、全市老干部工作者培训班及老干部钓鱼协会举办的国家二级钓鱼裁判员培训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28.87万元（其中：一般公共预算支出28.87万元；政府性基金预算支出0万元；国有资本经营预算支出0万元）。与上年相比，增加20.22万元，增长233.76%，变动原因：物价上涨，办公成本增长，办公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25.85万元，其中：政府采购货物支出8.09万元、政府采购工程支出0万元、政府采购服务支出17.76万元。政府采购授予中小企业合同金额25.85万元，占政府采购支出总额的100%，其中：授予小微企业合同金额25.85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2022年度，本单位共4个项目开展了财政重点绩效评价，涉及财政性资金合计66.61万元；本单位开展单位整体支出财政重点绩效评价，涉及财政性资金66.61万元。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本单位共对上年度已实施完成的4个项目开展了绩效自评价，涉及财政性资金合计87.43万元；本单位共开展1项单位整体支出绩效自评价，涉及财政性资金合计424.81万元。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十九、一般公共服务支出(类)其他共产党事务支出(款)行政运行(项)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二十、一般公共服务支出(类)其他共产党事务支出(款)其他共产党事务支出(项)</w:t>
      </w:r>
      <w:r>
        <w:rPr>
          <w:rFonts w:ascii="仿宋" w:hAnsi="仿宋" w:cs="仿宋" w:eastAsia="仿宋"/>
          <w:b w:val="true"/>
        </w:rPr>
        <w:t>：</w:t>
      </w:r>
      <w:r>
        <w:rPr>
          <w:rFonts w:hint="eastAsia" w:ascii="仿宋" w:hAnsi="仿宋" w:eastAsia="仿宋" w:cs="仿宋"/>
        </w:rPr>
        <w:t>反映除上述项目以外其他用于中国共产党事务的支出。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二十一、一般公共服务支出(类)其他一般公共服务支出(款)其他一般公共服务支出(项)</w:t>
      </w:r>
      <w:r>
        <w:rPr>
          <w:rFonts w:ascii="仿宋" w:hAnsi="仿宋" w:cs="仿宋" w:eastAsia="仿宋"/>
          <w:b w:val="true"/>
        </w:rPr>
        <w:t>：</w:t>
      </w:r>
      <w:r>
        <w:rPr>
          <w:rFonts w:hint="eastAsia" w:ascii="仿宋" w:hAnsi="仿宋" w:eastAsia="仿宋" w:cs="仿宋"/>
        </w:rPr>
        <w:t>反映除上述项目以外的其他一般公共服务支出。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连云港市老干部活动中心</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